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22" w:rsidRPr="007B2E72" w:rsidRDefault="005C7C22" w:rsidP="005C7C22">
      <w:pPr>
        <w:numPr>
          <w:ilvl w:val="0"/>
          <w:numId w:val="1"/>
        </w:numPr>
        <w:spacing w:after="0" w:line="240" w:lineRule="auto"/>
        <w:jc w:val="both"/>
        <w:rPr>
          <w:rFonts w:cs="Arial"/>
          <w:i/>
          <w:iCs/>
          <w:sz w:val="16"/>
          <w:szCs w:val="16"/>
          <w:lang w:val="fr-BE"/>
        </w:rPr>
      </w:pPr>
      <w:r w:rsidRPr="007B2E72">
        <w:rPr>
          <w:rFonts w:cs="Arial"/>
          <w:sz w:val="16"/>
          <w:szCs w:val="16"/>
          <w:lang w:val="fr-FR"/>
        </w:rPr>
        <w:t xml:space="preserve">Appliquer en deux couches de la </w:t>
      </w:r>
      <w:r w:rsidRPr="007B2E72">
        <w:rPr>
          <w:rFonts w:cs="Arial"/>
          <w:b/>
          <w:sz w:val="16"/>
          <w:szCs w:val="16"/>
          <w:lang w:val="fr-FR"/>
        </w:rPr>
        <w:t xml:space="preserve">Peinture </w:t>
      </w:r>
      <w:r w:rsidRPr="007B2E72">
        <w:rPr>
          <w:rFonts w:cs="Arial"/>
          <w:b/>
          <w:sz w:val="16"/>
          <w:szCs w:val="16"/>
          <w:lang w:val="fr-BE"/>
        </w:rPr>
        <w:t>à Base de Silicate WILLCO</w:t>
      </w:r>
      <w:r w:rsidRPr="007B2E72">
        <w:rPr>
          <w:rFonts w:cs="Arial"/>
          <w:sz w:val="16"/>
          <w:szCs w:val="16"/>
          <w:lang w:val="fr-BE"/>
        </w:rPr>
        <w:t xml:space="preserve"> </w:t>
      </w:r>
      <w:r w:rsidRPr="007B2E72">
        <w:rPr>
          <w:rFonts w:cs="Arial"/>
          <w:sz w:val="16"/>
          <w:szCs w:val="16"/>
          <w:lang w:val="fr-FR"/>
        </w:rPr>
        <w:t>dans la couleur au choix.</w:t>
      </w:r>
    </w:p>
    <w:p w:rsidR="000128F2" w:rsidRPr="000128F2" w:rsidRDefault="000128F2" w:rsidP="005C7C22">
      <w:pPr>
        <w:autoSpaceDE w:val="0"/>
        <w:autoSpaceDN w:val="0"/>
        <w:adjustRightInd w:val="0"/>
        <w:spacing w:after="0" w:line="240" w:lineRule="auto"/>
        <w:ind w:left="360"/>
        <w:rPr>
          <w:rFonts w:cs="Arial"/>
          <w:sz w:val="16"/>
          <w:szCs w:val="16"/>
          <w:lang w:val="fr-BE"/>
        </w:rPr>
      </w:pPr>
      <w:r w:rsidRPr="000128F2">
        <w:rPr>
          <w:sz w:val="16"/>
          <w:szCs w:val="16"/>
          <w:lang w:val="fr-BE"/>
        </w:rPr>
        <w:t>Une peinture à base de silicate, matte, organique, selon DIN 18363, pour l’extérieur et l’intérieur. Prêt à l’emploi, sans plastifiants, insaponifiable, microporeux et très ouvert à la vapeur. Reste très longtemps propre. Séchage par évaporation. Une très bonne adhérence grâce à la réaction du potassium de silicate avec les supports minéraux.</w:t>
      </w:r>
    </w:p>
    <w:p w:rsidR="000128F2" w:rsidRPr="000128F2" w:rsidRDefault="005C7C22" w:rsidP="000128F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Liant : silicate de potassium, stabilisé avec une dispersion synthétique</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Densité</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e</w:t>
      </w:r>
      <w:r w:rsidRPr="000128F2">
        <w:rPr>
          <w:rFonts w:asciiTheme="minorHAnsi" w:hAnsiTheme="minorHAnsi"/>
          <w:sz w:val="16"/>
          <w:szCs w:val="16"/>
          <w:lang w:val="fr-BE"/>
        </w:rPr>
        <w:t>nviron 1,50 g/cm</w:t>
      </w:r>
      <w:r w:rsidRPr="000128F2">
        <w:rPr>
          <w:rFonts w:asciiTheme="minorHAnsi" w:hAnsiTheme="minorHAnsi"/>
          <w:sz w:val="16"/>
          <w:szCs w:val="16"/>
          <w:vertAlign w:val="superscript"/>
          <w:lang w:val="fr-BE"/>
        </w:rPr>
        <w:t>3</w:t>
      </w:r>
      <w:r w:rsidRPr="000128F2">
        <w:rPr>
          <w:rFonts w:asciiTheme="minorHAnsi" w:hAnsiTheme="minorHAnsi"/>
          <w:sz w:val="16"/>
          <w:szCs w:val="16"/>
          <w:lang w:val="fr-BE"/>
        </w:rPr>
        <w:t xml:space="preserve"> </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Teneur en COV</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v</w:t>
      </w:r>
      <w:r w:rsidRPr="000128F2">
        <w:rPr>
          <w:rFonts w:asciiTheme="minorHAnsi" w:hAnsiTheme="minorHAnsi"/>
          <w:sz w:val="16"/>
          <w:szCs w:val="16"/>
          <w:lang w:val="fr-BE"/>
        </w:rPr>
        <w:t>aleur limite UE pour ce produit (Cat. A/c): 40 g/l</w:t>
      </w:r>
      <w:r>
        <w:rPr>
          <w:rFonts w:asciiTheme="minorHAnsi" w:hAnsiTheme="minorHAnsi"/>
          <w:sz w:val="16"/>
          <w:szCs w:val="16"/>
          <w:lang w:val="fr-BE"/>
        </w:rPr>
        <w:t>.</w:t>
      </w:r>
      <w:r w:rsidRPr="000128F2">
        <w:rPr>
          <w:rFonts w:asciiTheme="minorHAnsi" w:hAnsiTheme="minorHAnsi"/>
          <w:sz w:val="16"/>
          <w:szCs w:val="16"/>
          <w:lang w:val="fr-BE"/>
        </w:rPr>
        <w:t xml:space="preserve"> Ce produit contient 0 g/l. </w:t>
      </w:r>
    </w:p>
    <w:p w:rsidR="000128F2" w:rsidRDefault="000128F2" w:rsidP="005C7C22">
      <w:pPr>
        <w:pStyle w:val="Plattetekst"/>
        <w:ind w:left="360"/>
        <w:rPr>
          <w:rFonts w:asciiTheme="minorHAnsi" w:hAnsiTheme="minorHAnsi"/>
          <w:sz w:val="16"/>
          <w:szCs w:val="16"/>
          <w:lang w:val="fr-BE"/>
        </w:rPr>
      </w:pPr>
      <w:r w:rsidRPr="000128F2">
        <w:rPr>
          <w:rFonts w:asciiTheme="minorHAnsi" w:hAnsiTheme="minorHAnsi"/>
          <w:sz w:val="16"/>
          <w:szCs w:val="16"/>
          <w:lang w:val="fr-BE"/>
        </w:rPr>
        <w:t>Liant</w:t>
      </w:r>
      <w:r>
        <w:rPr>
          <w:rFonts w:asciiTheme="minorHAnsi" w:hAnsiTheme="minorHAnsi"/>
          <w:sz w:val="16"/>
          <w:szCs w:val="16"/>
          <w:lang w:val="fr-BE"/>
        </w:rPr>
        <w:t> : silicate de potassium</w:t>
      </w:r>
    </w:p>
    <w:p w:rsidR="000128F2" w:rsidRDefault="000128F2" w:rsidP="000128F2">
      <w:pPr>
        <w:pStyle w:val="Plattetekst"/>
        <w:ind w:left="360"/>
        <w:rPr>
          <w:rFonts w:asciiTheme="minorHAnsi" w:hAnsiTheme="minorHAnsi"/>
          <w:sz w:val="16"/>
          <w:szCs w:val="16"/>
          <w:lang w:val="fr-BE"/>
        </w:rPr>
      </w:pPr>
      <w:r>
        <w:rPr>
          <w:rFonts w:asciiTheme="minorHAnsi" w:hAnsiTheme="minorHAnsi"/>
          <w:sz w:val="16"/>
          <w:szCs w:val="16"/>
          <w:lang w:val="fr-BE"/>
        </w:rPr>
        <w:t>Indicateur de durabilité : c</w:t>
      </w:r>
      <w:r w:rsidRPr="000128F2">
        <w:rPr>
          <w:rFonts w:asciiTheme="minorHAnsi" w:hAnsiTheme="minorHAnsi"/>
          <w:sz w:val="16"/>
          <w:szCs w:val="16"/>
          <w:lang w:val="fr-BE"/>
        </w:rPr>
        <w:t xml:space="preserve">onforme à la Directive </w:t>
      </w:r>
      <w:proofErr w:type="spellStart"/>
      <w:r w:rsidRPr="000128F2">
        <w:rPr>
          <w:rFonts w:asciiTheme="minorHAnsi" w:hAnsiTheme="minorHAnsi"/>
          <w:sz w:val="16"/>
          <w:szCs w:val="16"/>
          <w:lang w:val="fr-BE"/>
        </w:rPr>
        <w:t>Deco</w:t>
      </w:r>
      <w:proofErr w:type="spellEnd"/>
      <w:r w:rsidRPr="000128F2">
        <w:rPr>
          <w:rFonts w:asciiTheme="minorHAnsi" w:hAnsiTheme="minorHAnsi"/>
          <w:sz w:val="16"/>
          <w:szCs w:val="16"/>
          <w:lang w:val="fr-BE"/>
        </w:rPr>
        <w:t xml:space="preserve">-Paint 2004/42/UE, annexe I et II </w:t>
      </w:r>
    </w:p>
    <w:p w:rsidR="000128F2" w:rsidRPr="000128F2" w:rsidRDefault="000128F2" w:rsidP="000128F2">
      <w:pPr>
        <w:pStyle w:val="Plattetekst"/>
        <w:ind w:left="360"/>
        <w:rPr>
          <w:rFonts w:asciiTheme="minorHAnsi" w:hAnsiTheme="minorHAnsi"/>
          <w:sz w:val="16"/>
          <w:szCs w:val="16"/>
          <w:lang w:val="fr-BE"/>
        </w:rPr>
      </w:pPr>
      <w:bookmarkStart w:id="0" w:name="_GoBack"/>
      <w:bookmarkEnd w:id="0"/>
      <w:r w:rsidRPr="000128F2">
        <w:rPr>
          <w:rFonts w:asciiTheme="minorHAnsi" w:hAnsiTheme="minorHAnsi"/>
          <w:sz w:val="16"/>
          <w:szCs w:val="16"/>
          <w:lang w:val="fr-BE"/>
        </w:rPr>
        <w:t>Diluant</w:t>
      </w:r>
      <w:r>
        <w:rPr>
          <w:rFonts w:asciiTheme="minorHAnsi" w:hAnsiTheme="minorHAnsi"/>
          <w:sz w:val="16"/>
          <w:szCs w:val="16"/>
          <w:lang w:val="fr-BE"/>
        </w:rPr>
        <w:t> :</w:t>
      </w:r>
      <w:r w:rsidRPr="000128F2">
        <w:rPr>
          <w:rFonts w:asciiTheme="minorHAnsi" w:hAnsiTheme="minorHAnsi"/>
          <w:sz w:val="16"/>
          <w:szCs w:val="16"/>
          <w:lang w:val="fr-BE"/>
        </w:rPr>
        <w:t xml:space="preserve"> </w:t>
      </w:r>
      <w:r>
        <w:rPr>
          <w:rFonts w:asciiTheme="minorHAnsi" w:hAnsiTheme="minorHAnsi"/>
          <w:sz w:val="16"/>
          <w:szCs w:val="16"/>
          <w:lang w:val="fr-BE"/>
        </w:rPr>
        <w:t>c</w:t>
      </w:r>
      <w:r w:rsidRPr="000128F2">
        <w:rPr>
          <w:rFonts w:asciiTheme="minorHAnsi" w:hAnsiTheme="minorHAnsi"/>
          <w:sz w:val="16"/>
          <w:szCs w:val="16"/>
          <w:lang w:val="fr-BE"/>
        </w:rPr>
        <w:t>ouche d’Imprégnation à Base de Silicate WILLCO</w:t>
      </w:r>
    </w:p>
    <w:p w:rsidR="000128F2" w:rsidRPr="000128F2" w:rsidRDefault="000128F2" w:rsidP="000128F2">
      <w:pPr>
        <w:pStyle w:val="Plattetekst"/>
        <w:ind w:left="360"/>
        <w:rPr>
          <w:rFonts w:asciiTheme="minorHAnsi" w:hAnsiTheme="minorHAnsi" w:cs="Arial"/>
          <w:sz w:val="16"/>
          <w:szCs w:val="16"/>
          <w:lang w:val="fr-BE"/>
        </w:rPr>
      </w:pPr>
      <w:r w:rsidRPr="00E46303">
        <w:rPr>
          <w:rFonts w:asciiTheme="minorHAnsi" w:hAnsiTheme="minorHAnsi" w:cs="Arial"/>
          <w:sz w:val="16"/>
          <w:szCs w:val="16"/>
          <w:lang w:val="fr-BE"/>
        </w:rPr>
        <w:t>Couleur: à choisir vous-même</w:t>
      </w:r>
    </w:p>
    <w:p w:rsidR="000128F2" w:rsidRPr="000128F2" w:rsidRDefault="000128F2" w:rsidP="000128F2">
      <w:pPr>
        <w:pStyle w:val="Plattetekst"/>
        <w:ind w:left="360"/>
        <w:rPr>
          <w:rFonts w:asciiTheme="minorHAnsi" w:hAnsiTheme="minorHAnsi"/>
          <w:sz w:val="16"/>
          <w:szCs w:val="16"/>
          <w:u w:val="single"/>
          <w:lang w:val="fr-BE"/>
        </w:rPr>
      </w:pPr>
      <w:r w:rsidRPr="000128F2">
        <w:rPr>
          <w:rFonts w:asciiTheme="minorHAnsi" w:hAnsiTheme="minorHAnsi"/>
          <w:sz w:val="16"/>
          <w:szCs w:val="16"/>
          <w:u w:val="single"/>
          <w:lang w:val="fr-BE"/>
        </w:rPr>
        <w:t>Spécifications selon DIN EN 1062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Brillance à 85°: G3 mat (&lt; 2)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Épaisseur de la couche (sec): E3 100 – 200 µm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Taille du grain: S1 &lt; 100 µm (fin)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à la vapeur d’eau (Valeur </w:t>
      </w:r>
      <w:proofErr w:type="spellStart"/>
      <w:r w:rsidRPr="000128F2">
        <w:rPr>
          <w:rFonts w:asciiTheme="minorHAnsi" w:hAnsiTheme="minorHAnsi"/>
          <w:sz w:val="16"/>
          <w:szCs w:val="16"/>
          <w:lang w:val="fr-BE"/>
        </w:rPr>
        <w:t>Sd</w:t>
      </w:r>
      <w:proofErr w:type="spellEnd"/>
      <w:r w:rsidRPr="000128F2">
        <w:rPr>
          <w:rFonts w:asciiTheme="minorHAnsi" w:hAnsiTheme="minorHAnsi"/>
          <w:sz w:val="16"/>
          <w:szCs w:val="16"/>
          <w:lang w:val="fr-BE"/>
        </w:rPr>
        <w:t xml:space="preserve">): V1 (haut) &lt; 0,01 m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Perméabilité à l’eau (Valeur W): W3 (bas) &lt; 0,10 kg/m</w:t>
      </w:r>
      <w:r w:rsidRPr="000128F2">
        <w:rPr>
          <w:rFonts w:asciiTheme="minorHAnsi" w:hAnsiTheme="minorHAnsi"/>
          <w:sz w:val="16"/>
          <w:szCs w:val="16"/>
          <w:vertAlign w:val="superscript"/>
          <w:lang w:val="fr-BE"/>
        </w:rPr>
        <w:t>2</w:t>
      </w:r>
      <w:r w:rsidRPr="000128F2">
        <w:rPr>
          <w:rFonts w:asciiTheme="minorHAnsi" w:hAnsiTheme="minorHAnsi"/>
          <w:sz w:val="16"/>
          <w:szCs w:val="16"/>
          <w:lang w:val="fr-BE"/>
        </w:rPr>
        <w:t xml:space="preserve"> h</w:t>
      </w:r>
      <w:r w:rsidRPr="000128F2">
        <w:rPr>
          <w:rFonts w:asciiTheme="minorHAnsi" w:hAnsiTheme="minorHAnsi"/>
          <w:sz w:val="16"/>
          <w:szCs w:val="16"/>
          <w:vertAlign w:val="superscript"/>
          <w:lang w:val="fr-BE"/>
        </w:rPr>
        <w:t xml:space="preserve">0,5 </w:t>
      </w:r>
    </w:p>
    <w:p w:rsidR="000128F2" w:rsidRDefault="000128F2" w:rsidP="000128F2">
      <w:pPr>
        <w:pStyle w:val="Plattetekst"/>
        <w:ind w:left="360"/>
        <w:rPr>
          <w:rFonts w:asciiTheme="minorHAnsi" w:hAnsiTheme="minorHAnsi"/>
          <w:sz w:val="16"/>
          <w:szCs w:val="16"/>
          <w:lang w:val="fr-BE"/>
        </w:rPr>
      </w:pPr>
      <w:r w:rsidRPr="000128F2">
        <w:rPr>
          <w:rFonts w:asciiTheme="minorHAnsi" w:hAnsiTheme="minorHAnsi"/>
          <w:sz w:val="16"/>
          <w:szCs w:val="16"/>
          <w:lang w:val="fr-BE"/>
        </w:rPr>
        <w:t xml:space="preserve">Perméabilité du carbone: C0 (aucun prérequis) </w:t>
      </w:r>
    </w:p>
    <w:p w:rsidR="005C7C22" w:rsidRPr="000128F2" w:rsidRDefault="005C7C22" w:rsidP="005C7C22">
      <w:pPr>
        <w:autoSpaceDE w:val="0"/>
        <w:autoSpaceDN w:val="0"/>
        <w:adjustRightInd w:val="0"/>
        <w:spacing w:after="0" w:line="240" w:lineRule="auto"/>
        <w:ind w:left="360"/>
        <w:rPr>
          <w:rFonts w:cs="Arial"/>
          <w:sz w:val="16"/>
          <w:szCs w:val="16"/>
          <w:lang w:val="fr-BE"/>
        </w:rPr>
      </w:pPr>
    </w:p>
    <w:p w:rsidR="005C7C22" w:rsidRPr="007B2E72" w:rsidRDefault="005C7C22" w:rsidP="005C7C2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La Peinture à Base de Silicate WILLCO est prête à l’emploi mais peut néanmoins être mélangé avec un peu d’eau pour une application plus facile. Les matériaux avec des numéros de production différents doivent ou bien être mélangés entre eux ou bien être appliqués séparément. Le numéro de production se trouve sur l’étiquette.</w:t>
      </w:r>
    </w:p>
    <w:p w:rsidR="005C7C22" w:rsidRPr="007B2E72" w:rsidRDefault="005C7C22" w:rsidP="005C7C22">
      <w:pPr>
        <w:autoSpaceDE w:val="0"/>
        <w:autoSpaceDN w:val="0"/>
        <w:adjustRightInd w:val="0"/>
        <w:spacing w:after="0" w:line="240" w:lineRule="auto"/>
        <w:ind w:left="360"/>
        <w:rPr>
          <w:rFonts w:cs="Arial"/>
          <w:sz w:val="16"/>
          <w:szCs w:val="16"/>
          <w:lang w:val="fr-BE"/>
        </w:rPr>
      </w:pPr>
    </w:p>
    <w:p w:rsidR="005C7C22" w:rsidRPr="007B2E72" w:rsidRDefault="005C7C22" w:rsidP="005C7C2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Suite des différentes couches :</w:t>
      </w:r>
    </w:p>
    <w:p w:rsidR="000E3242" w:rsidRDefault="000E3242" w:rsidP="000E3242">
      <w:pPr>
        <w:autoSpaceDE w:val="0"/>
        <w:autoSpaceDN w:val="0"/>
        <w:adjustRightInd w:val="0"/>
        <w:spacing w:after="0" w:line="240" w:lineRule="auto"/>
        <w:ind w:left="360"/>
        <w:rPr>
          <w:sz w:val="16"/>
          <w:szCs w:val="16"/>
          <w:lang w:val="fr-BE"/>
        </w:rPr>
      </w:pPr>
      <w:r w:rsidRPr="000E3242">
        <w:rPr>
          <w:sz w:val="16"/>
          <w:szCs w:val="16"/>
          <w:lang w:val="fr-BE"/>
        </w:rPr>
        <w:t xml:space="preserve">Impression: Couche d’Imprégnation à Base de Silicate WILLCO. </w:t>
      </w:r>
    </w:p>
    <w:p w:rsidR="000E3242" w:rsidRDefault="000E3242" w:rsidP="000E3242">
      <w:pPr>
        <w:autoSpaceDE w:val="0"/>
        <w:autoSpaceDN w:val="0"/>
        <w:adjustRightInd w:val="0"/>
        <w:spacing w:after="0" w:line="240" w:lineRule="auto"/>
        <w:ind w:left="1410" w:hanging="1050"/>
        <w:rPr>
          <w:sz w:val="16"/>
          <w:szCs w:val="16"/>
          <w:lang w:val="fr-BE"/>
        </w:rPr>
      </w:pPr>
      <w:r w:rsidRPr="000E3242">
        <w:rPr>
          <w:sz w:val="16"/>
          <w:szCs w:val="16"/>
          <w:lang w:val="fr-BE"/>
        </w:rPr>
        <w:t xml:space="preserve">1° couche: </w:t>
      </w:r>
      <w:r>
        <w:rPr>
          <w:sz w:val="16"/>
          <w:szCs w:val="16"/>
          <w:lang w:val="fr-BE"/>
        </w:rPr>
        <w:tab/>
      </w:r>
      <w:r w:rsidRPr="000E3242">
        <w:rPr>
          <w:sz w:val="16"/>
          <w:szCs w:val="16"/>
          <w:lang w:val="fr-BE"/>
        </w:rPr>
        <w:t xml:space="preserve">Diluer la Peinture à Base de Silicate WILLCO avec maximum 15% de Couche d’Imprégnation à Base de Silicate WILLCO et appliquer au pinceau, à la brosse ou au rouleau. </w:t>
      </w:r>
    </w:p>
    <w:p w:rsidR="005C7C22" w:rsidRPr="000E3242" w:rsidRDefault="000E3242" w:rsidP="000E3242">
      <w:pPr>
        <w:autoSpaceDE w:val="0"/>
        <w:autoSpaceDN w:val="0"/>
        <w:adjustRightInd w:val="0"/>
        <w:spacing w:after="0" w:line="240" w:lineRule="auto"/>
        <w:ind w:left="1410" w:hanging="1050"/>
        <w:rPr>
          <w:sz w:val="16"/>
          <w:szCs w:val="16"/>
          <w:lang w:val="fr-BE"/>
        </w:rPr>
      </w:pPr>
      <w:r w:rsidRPr="000E3242">
        <w:rPr>
          <w:sz w:val="16"/>
          <w:szCs w:val="16"/>
          <w:lang w:val="fr-BE"/>
        </w:rPr>
        <w:t xml:space="preserve">2° couche: </w:t>
      </w:r>
      <w:r>
        <w:rPr>
          <w:sz w:val="16"/>
          <w:szCs w:val="16"/>
          <w:lang w:val="fr-BE"/>
        </w:rPr>
        <w:tab/>
      </w:r>
      <w:r w:rsidRPr="000E3242">
        <w:rPr>
          <w:sz w:val="16"/>
          <w:szCs w:val="16"/>
          <w:lang w:val="fr-BE"/>
        </w:rPr>
        <w:t>Diluer la Peinture à Base de Silicate WILLCO avec maximum 10% de Couche d’Imprégnation à Base de Silicate WILLCO et appliquer, après au moins 12 heures</w:t>
      </w:r>
    </w:p>
    <w:p w:rsidR="000E3242" w:rsidRPr="000E3242" w:rsidRDefault="000E3242" w:rsidP="005C7C22">
      <w:pPr>
        <w:autoSpaceDE w:val="0"/>
        <w:autoSpaceDN w:val="0"/>
        <w:adjustRightInd w:val="0"/>
        <w:spacing w:after="0" w:line="240" w:lineRule="auto"/>
        <w:rPr>
          <w:rFonts w:cs="Arial"/>
          <w:b/>
          <w:bCs/>
          <w:i/>
          <w:iCs/>
          <w:sz w:val="16"/>
          <w:szCs w:val="16"/>
          <w:lang w:val="fr-BE"/>
        </w:rPr>
      </w:pPr>
    </w:p>
    <w:p w:rsidR="000E3242" w:rsidRDefault="000E3242" w:rsidP="005C7C22">
      <w:pPr>
        <w:autoSpaceDE w:val="0"/>
        <w:autoSpaceDN w:val="0"/>
        <w:adjustRightInd w:val="0"/>
        <w:spacing w:after="0" w:line="240" w:lineRule="auto"/>
        <w:ind w:left="360"/>
        <w:rPr>
          <w:rFonts w:cs="Arial"/>
          <w:sz w:val="16"/>
          <w:szCs w:val="16"/>
          <w:lang w:val="fr-BE"/>
        </w:rPr>
      </w:pPr>
      <w:r>
        <w:rPr>
          <w:rFonts w:cs="Arial"/>
          <w:sz w:val="16"/>
          <w:szCs w:val="16"/>
          <w:lang w:val="fr-BE"/>
        </w:rPr>
        <w:t>Consommation : Environ 300-5</w:t>
      </w:r>
      <w:r w:rsidR="005C7C22" w:rsidRPr="007B2E72">
        <w:rPr>
          <w:rFonts w:cs="Arial"/>
          <w:sz w:val="16"/>
          <w:szCs w:val="16"/>
          <w:lang w:val="fr-BE"/>
        </w:rPr>
        <w:t>00ml/m² pour deux couches.</w:t>
      </w:r>
    </w:p>
    <w:p w:rsidR="005C7C22" w:rsidRPr="007B2E72" w:rsidRDefault="005C7C22" w:rsidP="005C7C22">
      <w:pPr>
        <w:autoSpaceDE w:val="0"/>
        <w:autoSpaceDN w:val="0"/>
        <w:adjustRightInd w:val="0"/>
        <w:spacing w:after="0" w:line="240" w:lineRule="auto"/>
        <w:ind w:left="360"/>
        <w:rPr>
          <w:rFonts w:cs="Arial"/>
          <w:sz w:val="16"/>
          <w:szCs w:val="16"/>
          <w:lang w:val="fr-BE"/>
        </w:rPr>
      </w:pPr>
      <w:r w:rsidRPr="007B2E72">
        <w:rPr>
          <w:rFonts w:cs="Arial"/>
          <w:sz w:val="16"/>
          <w:szCs w:val="16"/>
          <w:lang w:val="fr-BE"/>
        </w:rPr>
        <w:t xml:space="preserve"> Les quantités peuvent différer selon les supports et les conditions et doivent être adaptées.</w:t>
      </w:r>
    </w:p>
    <w:p w:rsidR="000E3242" w:rsidRPr="000E3242" w:rsidRDefault="000E3242" w:rsidP="005C7C22">
      <w:pPr>
        <w:autoSpaceDE w:val="0"/>
        <w:autoSpaceDN w:val="0"/>
        <w:adjustRightInd w:val="0"/>
        <w:spacing w:after="0" w:line="240" w:lineRule="auto"/>
        <w:ind w:left="360"/>
        <w:rPr>
          <w:rFonts w:cs="Arial"/>
          <w:sz w:val="16"/>
          <w:szCs w:val="16"/>
          <w:lang w:val="fr-BE"/>
        </w:rPr>
      </w:pPr>
      <w:r w:rsidRPr="000E3242">
        <w:rPr>
          <w:sz w:val="16"/>
          <w:szCs w:val="16"/>
          <w:lang w:val="fr-BE"/>
        </w:rPr>
        <w:t>Les surfaces fraîchement couvertes doivent être protégées de l’humidité jusqu’à ce qu’elles soient totalement sèches. Le temps de séchage dépend du taux d’humidité de l’air et de la température. Il est plus long en cas d’humidité importante ou par basses températures. En général (20°C/65% d’humidité relative) la peinture est sec au bout de 4 à 5 jours. Des conditions atmosphériques défavorables ainsi que des supports humides et des surfaces inégalement absorbantes peuvent faire apparaître des taches blanchâtres.</w:t>
      </w:r>
    </w:p>
    <w:sectPr w:rsidR="000E3242" w:rsidRPr="000E3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06"/>
    <w:rsid w:val="000128F2"/>
    <w:rsid w:val="0002081A"/>
    <w:rsid w:val="000E3242"/>
    <w:rsid w:val="001463E9"/>
    <w:rsid w:val="005C7C22"/>
    <w:rsid w:val="00CD578F"/>
    <w:rsid w:val="00D51606"/>
    <w:rsid w:val="00E46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5160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D51606"/>
    <w:rPr>
      <w:rFonts w:ascii="Times New Roman" w:eastAsia="Times New Roman" w:hAnsi="Times New Roman" w:cs="Times New Roman"/>
      <w:sz w:val="20"/>
      <w:szCs w:val="20"/>
      <w:lang w:val="nl-NL" w:eastAsia="nl-NL"/>
    </w:rPr>
  </w:style>
  <w:style w:type="paragraph" w:customStyle="1" w:styleId="Basisalinea">
    <w:name w:val="[Basisalinea]"/>
    <w:basedOn w:val="Standaard"/>
    <w:uiPriority w:val="99"/>
    <w:rsid w:val="00D51606"/>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7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5160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D51606"/>
    <w:rPr>
      <w:rFonts w:ascii="Times New Roman" w:eastAsia="Times New Roman" w:hAnsi="Times New Roman" w:cs="Times New Roman"/>
      <w:sz w:val="20"/>
      <w:szCs w:val="20"/>
      <w:lang w:val="nl-NL" w:eastAsia="nl-NL"/>
    </w:rPr>
  </w:style>
  <w:style w:type="paragraph" w:customStyle="1" w:styleId="Basisalinea">
    <w:name w:val="[Basisalinea]"/>
    <w:basedOn w:val="Standaard"/>
    <w:uiPriority w:val="99"/>
    <w:rsid w:val="00D51606"/>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Words>
  <Characters>2200</Characters>
  <Application>Microsoft Office Word</Application>
  <DocSecurity>0</DocSecurity>
  <Lines>18</Lines>
  <Paragraphs>5</Paragraphs>
  <ScaleCrop>false</ScaleCrop>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7</cp:revision>
  <dcterms:created xsi:type="dcterms:W3CDTF">2017-03-20T13:35:00Z</dcterms:created>
  <dcterms:modified xsi:type="dcterms:W3CDTF">2018-12-21T08:05:00Z</dcterms:modified>
</cp:coreProperties>
</file>