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0D" w:rsidRPr="001F230D" w:rsidRDefault="001F230D" w:rsidP="001F23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1F230D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>De principes</w:t>
      </w:r>
    </w:p>
    <w:p w:rsidR="001F230D" w:rsidRPr="001F230D" w:rsidRDefault="001F230D" w:rsidP="001F2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F230D">
        <w:rPr>
          <w:rFonts w:ascii="Times New Roman" w:eastAsia="Times New Roman" w:hAnsi="Times New Roman" w:cs="Times New Roman"/>
          <w:sz w:val="24"/>
          <w:szCs w:val="24"/>
          <w:lang w:eastAsia="nl-BE"/>
        </w:rPr>
        <w:t>de vrije schoolkeuze van ouders</w:t>
      </w:r>
    </w:p>
    <w:p w:rsidR="001F230D" w:rsidRPr="001F230D" w:rsidRDefault="001F230D" w:rsidP="001F2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F230D">
        <w:rPr>
          <w:rFonts w:ascii="Times New Roman" w:eastAsia="Times New Roman" w:hAnsi="Times New Roman" w:cs="Times New Roman"/>
          <w:sz w:val="24"/>
          <w:szCs w:val="24"/>
          <w:lang w:eastAsia="nl-BE"/>
        </w:rPr>
        <w:t>de beginselen voor gelijke onderwijskansen: </w:t>
      </w:r>
    </w:p>
    <w:p w:rsidR="001F230D" w:rsidRPr="001F230D" w:rsidRDefault="001F230D" w:rsidP="001F23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F230D">
        <w:rPr>
          <w:rFonts w:ascii="Times New Roman" w:eastAsia="Times New Roman" w:hAnsi="Times New Roman" w:cs="Times New Roman"/>
          <w:sz w:val="24"/>
          <w:szCs w:val="24"/>
          <w:lang w:eastAsia="nl-BE"/>
        </w:rPr>
        <w:t>optimale leer- en ontwikkelingskansen geven aan alle leerlingen; voor het basisonderwijs bovendien zoveel mogelijk in een school in de buurt</w:t>
      </w:r>
    </w:p>
    <w:p w:rsidR="001F230D" w:rsidRPr="001F230D" w:rsidRDefault="001F230D" w:rsidP="001F23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F230D">
        <w:rPr>
          <w:rFonts w:ascii="Times New Roman" w:eastAsia="Times New Roman" w:hAnsi="Times New Roman" w:cs="Times New Roman"/>
          <w:sz w:val="24"/>
          <w:szCs w:val="24"/>
          <w:lang w:eastAsia="nl-BE"/>
        </w:rPr>
        <w:t>sociale uitsluiting, segregatie en discriminatie vermijden</w:t>
      </w:r>
    </w:p>
    <w:p w:rsidR="001F230D" w:rsidRPr="001F230D" w:rsidRDefault="001F230D" w:rsidP="001F23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F230D">
        <w:rPr>
          <w:rFonts w:ascii="Times New Roman" w:eastAsia="Times New Roman" w:hAnsi="Times New Roman" w:cs="Times New Roman"/>
          <w:sz w:val="24"/>
          <w:szCs w:val="24"/>
          <w:lang w:eastAsia="nl-BE"/>
        </w:rPr>
        <w:t>sociale mix en sociale cohesie bevorderen</w:t>
      </w:r>
    </w:p>
    <w:p w:rsidR="001F230D" w:rsidRPr="001F230D" w:rsidRDefault="001F230D" w:rsidP="001F23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F230D">
        <w:rPr>
          <w:rFonts w:ascii="Times New Roman" w:eastAsia="Times New Roman" w:hAnsi="Times New Roman" w:cs="Times New Roman"/>
          <w:sz w:val="24"/>
          <w:szCs w:val="24"/>
          <w:lang w:eastAsia="nl-BE"/>
        </w:rPr>
        <w:t>gelijke onderwijs- en inschrijvingskansen voor Nederlandstaligen beschermen</w:t>
      </w:r>
    </w:p>
    <w:p w:rsidR="001F230D" w:rsidRPr="001F230D" w:rsidRDefault="001F230D" w:rsidP="001F23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F230D">
        <w:rPr>
          <w:rFonts w:ascii="Times New Roman" w:eastAsia="Times New Roman" w:hAnsi="Times New Roman" w:cs="Times New Roman"/>
          <w:sz w:val="24"/>
          <w:szCs w:val="24"/>
          <w:lang w:eastAsia="nl-BE"/>
        </w:rPr>
        <w:t>en het Nederlandstalig karakter van de scholen die gesubsidieerd worden door de Vlaamse Gemeenschap bewaren (enkel in het Brussels Hoofdstedelijk Gewest) </w:t>
      </w:r>
    </w:p>
    <w:p w:rsidR="001F230D" w:rsidRPr="001F230D" w:rsidRDefault="001F230D" w:rsidP="001F23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1F230D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>Voor wie geldt deze regeling?</w:t>
      </w:r>
    </w:p>
    <w:p w:rsidR="001F230D" w:rsidRPr="001F230D" w:rsidRDefault="001F230D" w:rsidP="001F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F230D">
        <w:rPr>
          <w:rFonts w:ascii="Times New Roman" w:eastAsia="Times New Roman" w:hAnsi="Times New Roman" w:cs="Times New Roman"/>
          <w:sz w:val="24"/>
          <w:szCs w:val="24"/>
          <w:lang w:eastAsia="nl-BE"/>
        </w:rPr>
        <w:t>De regeling is verplicht voor alle scholen:</w:t>
      </w:r>
    </w:p>
    <w:p w:rsidR="001F230D" w:rsidRPr="001F230D" w:rsidRDefault="001F230D" w:rsidP="001F2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F230D">
        <w:rPr>
          <w:rFonts w:ascii="Times New Roman" w:eastAsia="Times New Roman" w:hAnsi="Times New Roman" w:cs="Times New Roman"/>
          <w:sz w:val="24"/>
          <w:szCs w:val="24"/>
          <w:lang w:eastAsia="nl-BE"/>
        </w:rPr>
        <w:t>voor het gewoon basisonderwijs</w:t>
      </w:r>
    </w:p>
    <w:p w:rsidR="001F230D" w:rsidRPr="001F230D" w:rsidRDefault="001F230D" w:rsidP="001F2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F230D">
        <w:rPr>
          <w:rFonts w:ascii="Times New Roman" w:eastAsia="Times New Roman" w:hAnsi="Times New Roman" w:cs="Times New Roman"/>
          <w:sz w:val="24"/>
          <w:szCs w:val="24"/>
          <w:lang w:eastAsia="nl-BE"/>
        </w:rPr>
        <w:t>voor het eerste jaar van de eerste graad van het secundair onderwijs</w:t>
      </w:r>
    </w:p>
    <w:p w:rsidR="001F230D" w:rsidRPr="001F230D" w:rsidRDefault="001F230D" w:rsidP="001F2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F230D">
        <w:rPr>
          <w:rFonts w:ascii="Times New Roman" w:eastAsia="Times New Roman" w:hAnsi="Times New Roman" w:cs="Times New Roman"/>
          <w:sz w:val="24"/>
          <w:szCs w:val="24"/>
          <w:lang w:eastAsia="nl-BE"/>
        </w:rPr>
        <w:t>voor alle jaren van het buitengewoon onderwijs</w:t>
      </w:r>
    </w:p>
    <w:p w:rsidR="001F230D" w:rsidRPr="001F230D" w:rsidRDefault="001F230D" w:rsidP="001F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F230D">
        <w:rPr>
          <w:rFonts w:ascii="Times New Roman" w:eastAsia="Times New Roman" w:hAnsi="Times New Roman" w:cs="Times New Roman"/>
          <w:sz w:val="24"/>
          <w:szCs w:val="24"/>
          <w:lang w:eastAsia="nl-BE"/>
        </w:rPr>
        <w:t>Sommige regels, zoals de toepassing van de dubbele contingentering, zijn verschillend voor scholen binnen of buiten een LOP-werkingsgebied.</w:t>
      </w:r>
    </w:p>
    <w:p w:rsidR="00A039D6" w:rsidRPr="00A039D6" w:rsidRDefault="00A039D6" w:rsidP="00A039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A039D6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>Wat is 'sociale mix' in het inschrijvingsdecreet?</w:t>
      </w:r>
    </w:p>
    <w:p w:rsidR="00A039D6" w:rsidRPr="00A039D6" w:rsidRDefault="00A039D6" w:rsidP="00A039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A039D6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 </w:t>
      </w:r>
    </w:p>
    <w:p w:rsidR="00A039D6" w:rsidRPr="00A039D6" w:rsidRDefault="00A039D6" w:rsidP="00A039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A039D6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Sociale mix</w:t>
      </w:r>
    </w:p>
    <w:p w:rsidR="00A039D6" w:rsidRPr="00A039D6" w:rsidRDefault="00A039D6" w:rsidP="00A0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Sociale mix is: de evenredige verdeling van ‘indicatorleerlingen’ en ‘niet-indicatorleerlingen’ over de scholen.</w:t>
      </w: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De Vlaamse overheid stimuleert alle scholen om te streven naar zo’n evenredige verdeling.</w:t>
      </w:r>
    </w:p>
    <w:p w:rsidR="00A039D6" w:rsidRPr="00A039D6" w:rsidRDefault="00A039D6" w:rsidP="00A039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A039D6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Twee indicatoren</w:t>
      </w:r>
    </w:p>
    <w:p w:rsidR="00A039D6" w:rsidRPr="00A039D6" w:rsidRDefault="00A039D6" w:rsidP="00A0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Hoe wil de overheid een goede sociale mix verkrijgen in de scholen? Door bepaalde groepen voorrang te geven.</w:t>
      </w:r>
    </w:p>
    <w:p w:rsidR="00A039D6" w:rsidRPr="00A039D6" w:rsidRDefault="00A039D6" w:rsidP="00A0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Daarbij wordt gekeken naar twee indicatoren:</w:t>
      </w:r>
    </w:p>
    <w:p w:rsidR="00A039D6" w:rsidRPr="00A039D6" w:rsidRDefault="00A039D6" w:rsidP="00A039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Het gezin heeft een schooltoelage ontvangen in het voorgaand schooljaar, of het gezin heeft een beperkt inkomen; </w:t>
      </w:r>
    </w:p>
    <w:p w:rsidR="00A039D6" w:rsidRPr="00A039D6" w:rsidRDefault="00A039D6" w:rsidP="00A039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De moeder heeft geen diploma secundair onderwijs of getuigschrift van het tweede leerjaar van de derde graad.</w:t>
      </w:r>
    </w:p>
    <w:p w:rsidR="00A039D6" w:rsidRPr="00A039D6" w:rsidRDefault="00A039D6" w:rsidP="00A0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NIEUW september 2014:</w:t>
      </w:r>
    </w:p>
    <w:p w:rsidR="00A039D6" w:rsidRPr="00A039D6" w:rsidRDefault="00A039D6" w:rsidP="00A0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 xml:space="preserve">Twee indicatoren tellen voortaan </w:t>
      </w:r>
      <w:r w:rsidRPr="00A039D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niet</w:t>
      </w: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meer mee:</w:t>
      </w:r>
    </w:p>
    <w:p w:rsidR="00A039D6" w:rsidRPr="00A039D6" w:rsidRDefault="00A039D6" w:rsidP="00A039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De leerling verblijft buiten het gezinsverband;</w:t>
      </w:r>
    </w:p>
    <w:p w:rsidR="00A039D6" w:rsidRPr="00A039D6" w:rsidRDefault="00A039D6" w:rsidP="00A039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Het gezin behoort tot de trekkende bevolking;</w:t>
      </w:r>
    </w:p>
    <w:p w:rsidR="00A039D6" w:rsidRPr="00A039D6" w:rsidRDefault="00A039D6" w:rsidP="00A0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De indicatoren 'thuistaal niet-Nederlands' en 'trekkende bevolking' tellen wél mee voor extra ondersteuning op school.</w:t>
      </w:r>
    </w:p>
    <w:p w:rsidR="00A039D6" w:rsidRPr="00A039D6" w:rsidRDefault="00A039D6" w:rsidP="00A0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Voor het Brussels Hoofdstedelijk Gewest verschilt de regeling.  Zie </w:t>
      </w:r>
      <w:hyperlink r:id="rId5" w:tgtFrame="_blank" w:history="1">
        <w:r w:rsidRPr="00A0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www.inschrijveninbrussel.be</w:t>
        </w:r>
      </w:hyperlink>
    </w:p>
    <w:p w:rsidR="00A039D6" w:rsidRPr="00A039D6" w:rsidRDefault="00A039D6" w:rsidP="00A0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A039D6" w:rsidRPr="00A039D6" w:rsidRDefault="00A039D6" w:rsidP="00A039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A039D6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>Hoe als school een sociale mix bereiken? Via ‘Dubbele contingentering’</w:t>
      </w:r>
    </w:p>
    <w:p w:rsidR="00A039D6" w:rsidRPr="00A039D6" w:rsidRDefault="00A039D6" w:rsidP="00A0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Het instrument voor scholen heet dubbele contingentering.</w:t>
      </w:r>
    </w:p>
    <w:p w:rsidR="00A039D6" w:rsidRPr="00A039D6" w:rsidRDefault="00A039D6" w:rsidP="00A0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De school rangschikt alle (kandidaat-)leerlingen onder een van de twee ‘contingenten’ (groepen): ze zijn ‘</w:t>
      </w:r>
      <w:proofErr w:type="spellStart"/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indicatorleerling</w:t>
      </w:r>
      <w:proofErr w:type="spellEnd"/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’ of ‘niet-</w:t>
      </w:r>
      <w:proofErr w:type="spellStart"/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indicatorleerling</w:t>
      </w:r>
      <w:proofErr w:type="spellEnd"/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’:</w:t>
      </w:r>
    </w:p>
    <w:p w:rsidR="00A039D6" w:rsidRPr="00A039D6" w:rsidRDefault="00A039D6" w:rsidP="00A039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indicatorleerling</w:t>
      </w:r>
      <w:proofErr w:type="spellEnd"/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: leerling die voldoet aan minstens één van deze indicatoren.</w:t>
      </w:r>
    </w:p>
    <w:p w:rsidR="00A039D6" w:rsidRPr="00A039D6" w:rsidRDefault="00A039D6" w:rsidP="00A039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niet-</w:t>
      </w:r>
      <w:proofErr w:type="spellStart"/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indicatorleerling</w:t>
      </w:r>
      <w:proofErr w:type="spellEnd"/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: leerling die op geen enkele indicator scoort.</w:t>
      </w:r>
    </w:p>
    <w:p w:rsidR="00A039D6" w:rsidRPr="00A039D6" w:rsidRDefault="00A039D6" w:rsidP="00A0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Idealiter zijn de indicator- en niet-indicatorleerlingen na verloop van tijd gelijkwaardig verdeeld in alle scholen van het werkingsgebied.</w:t>
      </w:r>
    </w:p>
    <w:p w:rsidR="00A039D6" w:rsidRPr="00A039D6" w:rsidRDefault="00A039D6" w:rsidP="00A0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Wie is verplicht dubbele contingentering toe te passen?</w:t>
      </w:r>
    </w:p>
    <w:p w:rsidR="00A039D6" w:rsidRPr="00A039D6" w:rsidRDefault="00A039D6" w:rsidP="00A039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alle scholen in een LOP-gebied</w:t>
      </w:r>
    </w:p>
    <w:p w:rsidR="00A039D6" w:rsidRPr="00A039D6" w:rsidRDefault="00A039D6" w:rsidP="00A039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alle scholen die met een aanmeldingsprocedure werken</w:t>
      </w:r>
    </w:p>
    <w:p w:rsidR="00A039D6" w:rsidRPr="00A039D6" w:rsidRDefault="00A039D6" w:rsidP="00A039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het kleuteronderwijs, voor de twee jongste geboortejaren (de 'instroomjaren')</w:t>
      </w:r>
    </w:p>
    <w:p w:rsidR="00A039D6" w:rsidRPr="00A039D6" w:rsidRDefault="00A039D6" w:rsidP="00A039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het lager onderwijs, voor het eerste leerjaar ('instroomjaar')</w:t>
      </w:r>
    </w:p>
    <w:p w:rsidR="00A039D6" w:rsidRPr="00A039D6" w:rsidRDefault="00A039D6" w:rsidP="00A039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het secundair onderwijs, voor het eerste leerjaar van de eerste graad ('instroomjaar')</w:t>
      </w:r>
    </w:p>
    <w:p w:rsidR="00A039D6" w:rsidRPr="00A039D6" w:rsidRDefault="00A039D6" w:rsidP="00A0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Voor de andere leerjaren </w:t>
      </w:r>
      <w:r w:rsidRPr="00A039D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mag</w:t>
      </w: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dubbele contingentering toegepast worden.</w:t>
      </w:r>
    </w:p>
    <w:p w:rsidR="00A039D6" w:rsidRPr="00A039D6" w:rsidRDefault="00A039D6" w:rsidP="00A0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Belangrijk: </w:t>
      </w: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Scholen kunnen wel al leerlingen inschrijven voor de </w:t>
      </w:r>
      <w:r w:rsidRPr="00A039D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andere</w:t>
      </w: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jaren tijdens de voorrangsperiode voor de instroomjaren.</w:t>
      </w:r>
    </w:p>
    <w:p w:rsidR="00A039D6" w:rsidRPr="00A039D6" w:rsidRDefault="00A039D6" w:rsidP="00A0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039D6">
        <w:rPr>
          <w:rFonts w:ascii="Times New Roman" w:eastAsia="Times New Roman" w:hAnsi="Times New Roman" w:cs="Times New Roman"/>
          <w:sz w:val="24"/>
          <w:szCs w:val="24"/>
          <w:lang w:eastAsia="nl-BE"/>
        </w:rPr>
        <w:t>Wacht ze ook voor die andere jaren tot het begin van de vrije inschrijvingsperiode? Dan moet ze dat meedelen aan alle belanghebbenden.</w:t>
      </w:r>
    </w:p>
    <w:p w:rsidR="00FE2FE2" w:rsidRDefault="00FE2FE2">
      <w:bookmarkStart w:id="0" w:name="_GoBack"/>
      <w:bookmarkEnd w:id="0"/>
    </w:p>
    <w:sectPr w:rsidR="00FE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EAE"/>
    <w:multiLevelType w:val="multilevel"/>
    <w:tmpl w:val="EF2E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C6A04"/>
    <w:multiLevelType w:val="multilevel"/>
    <w:tmpl w:val="CDE6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B6E23"/>
    <w:multiLevelType w:val="multilevel"/>
    <w:tmpl w:val="0B56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310D1"/>
    <w:multiLevelType w:val="multilevel"/>
    <w:tmpl w:val="CAF0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C3D70"/>
    <w:multiLevelType w:val="multilevel"/>
    <w:tmpl w:val="5BB0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122F5"/>
    <w:multiLevelType w:val="multilevel"/>
    <w:tmpl w:val="9E58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0D"/>
    <w:rsid w:val="001F230D"/>
    <w:rsid w:val="00A039D6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631A8-805C-45DD-BC5D-C9115B91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F2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039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F230D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1F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039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chrijveninbruss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Mathyssen</dc:creator>
  <cp:keywords/>
  <dc:description/>
  <cp:lastModifiedBy>Rony Mathyssen</cp:lastModifiedBy>
  <cp:revision>3</cp:revision>
  <dcterms:created xsi:type="dcterms:W3CDTF">2016-03-15T10:21:00Z</dcterms:created>
  <dcterms:modified xsi:type="dcterms:W3CDTF">2016-03-15T10:22:00Z</dcterms:modified>
</cp:coreProperties>
</file>